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highlight w:val="none"/>
          <w:lang w:eastAsia="zh-CN"/>
        </w:rPr>
        <w:t>须</w:t>
      </w:r>
      <w:r>
        <w:rPr>
          <w:rFonts w:hint="eastAsia" w:ascii="宋体" w:hAnsi="宋体" w:eastAsia="宋体" w:cs="宋体"/>
          <w:b/>
          <w:bCs w:val="0"/>
          <w:sz w:val="24"/>
          <w:szCs w:val="24"/>
          <w:highlight w:val="none"/>
        </w:rPr>
        <w:t>满足</w:t>
      </w:r>
      <w:bookmarkStart w:id="0" w:name="_GoBack"/>
      <w:r>
        <w:rPr>
          <w:rFonts w:hint="eastAsia" w:ascii="宋体" w:hAnsi="宋体" w:eastAsia="宋体" w:cs="宋体"/>
          <w:b/>
          <w:bCs w:val="0"/>
          <w:sz w:val="24"/>
          <w:szCs w:val="24"/>
          <w:highlight w:val="none"/>
        </w:rPr>
        <w:t>《中华人民共和国政府采购法》第二十二条规定</w:t>
      </w:r>
      <w:bookmarkEnd w:id="0"/>
      <w:r>
        <w:rPr>
          <w:rFonts w:hint="eastAsia" w:ascii="宋体" w:hAnsi="宋体" w:eastAsia="宋体" w:cs="宋体"/>
          <w:b/>
          <w:bCs w:val="0"/>
          <w:sz w:val="24"/>
          <w:szCs w:val="24"/>
          <w:highlight w:val="none"/>
        </w:rPr>
        <w:t>；</w:t>
      </w:r>
      <w:r>
        <w:rPr>
          <w:rFonts w:hint="eastAsia" w:ascii="宋体" w:hAnsi="宋体" w:eastAsia="宋体" w:cs="宋体"/>
          <w:b/>
          <w:bCs w:val="0"/>
          <w:sz w:val="24"/>
          <w:szCs w:val="24"/>
          <w:highlight w:val="none"/>
          <w:lang w:val="en-US" w:eastAsia="zh-CN"/>
        </w:rPr>
        <w:t>满足</w:t>
      </w:r>
      <w:r>
        <w:rPr>
          <w:rFonts w:hint="eastAsia" w:ascii="宋体" w:hAnsi="宋体" w:eastAsia="宋体" w:cs="宋体"/>
          <w:b/>
          <w:bCs w:val="0"/>
          <w:sz w:val="24"/>
          <w:szCs w:val="24"/>
          <w:highlight w:val="none"/>
        </w:rPr>
        <w:t>本项目的特定资格要求</w:t>
      </w:r>
      <w:r>
        <w:rPr>
          <w:rFonts w:hint="eastAsia" w:ascii="宋体" w:hAnsi="宋体" w:eastAsia="宋体" w:cs="宋体"/>
          <w:b/>
          <w:bCs w:val="0"/>
          <w:sz w:val="24"/>
          <w:szCs w:val="24"/>
          <w:highlight w:val="none"/>
          <w:lang w:eastAsia="zh-CN"/>
        </w:rPr>
        <w:t>：</w:t>
      </w:r>
    </w:p>
    <w:p>
      <w:pPr>
        <w:rPr>
          <w:rFonts w:hint="eastAsia" w:ascii="宋体" w:hAnsi="宋体" w:eastAsia="宋体" w:cs="宋体"/>
          <w:b w:val="0"/>
          <w:bCs/>
          <w:sz w:val="24"/>
          <w:szCs w:val="24"/>
          <w:highlight w:val="none"/>
          <w:lang w:eastAsia="zh-CN"/>
        </w:rPr>
      </w:pP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(1)凡有能力提供本次招标货物及服务的投标人均可能成为合格的投标人，需提交以下资格证明文件：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 xml:space="preserve">A、投标人为企业的，须提供有效的营业执照复印件；投标人为事业单位的，须提供有效的事业单位法人证书复印件；投标人为社会团体的，须提供有效的社会团体法人登记证书复印件；投标人为合伙企业、个体工商户的，须提供有效的营业执照复印件；投标人为非企业专业服务机构的，须提供有效的执业许可证等证明材料复印件；投标人为自然人的，须提供有效的自然人身份证件复印件；其他投标人应按照有关法律、法规和规章规定，提供有效的相应具体证照复印件。   </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B、法定代表人（如为单位负责人，则提供单位负责人）身份证正反面复印件；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C、投标代表身份证正反面复印件；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D、法定代表人授权书原件(格式详见第六章“投标文件格式”，投标代表是法定代表人（单位负责人）或投标人为自然人的，则无需提供)。</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（2）投标人（个体工商户、自然人除外）须提供财务状况报告，依法缴纳税收和社会保障资金的相关材料：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?财务状况报告：投标人须提供财务报告（经审计的2021年度）或资信证明。</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?提供投标截止时间前六个月（不含投标截止时间的当月）中任意一个月依法缴纳税收的证明材料。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?提供投标截止时间前六个月（不含投标截止时间的当月）中任意一个月社会保障资金的相关材料:缴交社保的证明材料。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（注：投标人若为依法免税或不需要缴纳社会保障资金的投标人，应提供相应文件证明其依法免税或不需要缴纳社会保障资金的证明材料。）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（3）投标人须提供具备履行合同所必需的设备和专业技术能力书面声明。</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4）投标人须提供参加招标活动前3年内在经营活动中没有重大违法记录的书面声明（格式自拟）。（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（5）投标人须提供无行贿犯罪记录声明函（格式自拟）。</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6）投标人（个体工商户、自然人除外）可在招标文件要求的截止时点前分别通过“信用中国”网站（www.creditchina.gov.cn）、中国政府采购网（www.ccgp.gov.cn）查询并打印相应的信用记录，投标人提供的查询结果为其通过上述网站获取的信用信息查询结果原始页面的打印件（或截图）。以招标代理机构在开标结束后两小时内现场分别通过“信用中国”网站（www.creditchina.gov.cn）、中国政府采购网（www.ccgp.gov.cn）查询其上述信用记录为准。查询结果存在投标人应被拒绝参与招投标活动相关信息的，其资格审查不合格，以无效标处理。</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（7）本项目不允许联合体投标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Nzc3Nzg5NjZjZmFkMTIwZDdkYjQwZTczNTA5YzgifQ=="/>
  </w:docVars>
  <w:rsids>
    <w:rsidRoot w:val="3A375053"/>
    <w:rsid w:val="3A375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2023-03-14T02:37:00Z</dcterms:created>
  <dc:creator>杨小君～优胜招标集团</dc:creator>
  <cp:lastModifiedBy>杨小君～优胜招标集团</cp:lastModifiedBy>
  <dcterms:modified xsi:type="dcterms:W3CDTF">2023-03-14T02:39:17Z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1011B82653214CCAB28C1D5B943B09D6</vt:lpwstr>
  </property>
</Properties>
</file>